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30pfw4gytz5g" w:id="0"/>
      <w:bookmarkEnd w:id="0"/>
      <w:r w:rsidDel="00000000" w:rsidR="00000000" w:rsidRPr="00000000">
        <w:rPr/>
        <w:drawing>
          <wp:inline distB="114300" distT="114300" distL="114300" distR="114300">
            <wp:extent cx="1309688" cy="390951"/>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09688" cy="3909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4pzk6ddcpvtf" w:id="1"/>
      <w:bookmarkEnd w:id="1"/>
      <w:r w:rsidDel="00000000" w:rsidR="00000000" w:rsidRPr="00000000">
        <w:rPr>
          <w:rtl w:val="0"/>
        </w:rPr>
        <w:t xml:space="preserve">90-minute </w: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6172200</wp:posOffset>
                </wp:positionH>
                <wp:positionV relativeFrom="page">
                  <wp:posOffset>-885824</wp:posOffset>
                </wp:positionV>
                <wp:extent cx="2066925" cy="5566193"/>
                <wp:effectExtent b="0" l="0" r="0" t="0"/>
                <wp:wrapNone/>
                <wp:docPr id="1" name=""/>
                <a:graphic>
                  <a:graphicData uri="http://schemas.microsoft.com/office/word/2010/wordprocessingShape">
                    <wps:wsp>
                      <wps:cNvCnPr/>
                      <wps:spPr>
                        <a:xfrm>
                          <a:off x="497375" y="133725"/>
                          <a:ext cx="1071300" cy="2907900"/>
                        </a:xfrm>
                        <a:prstGeom prst="straightConnector1">
                          <a:avLst/>
                        </a:prstGeom>
                        <a:noFill/>
                        <a:ln cap="flat" cmpd="sng" w="76200">
                          <a:solidFill>
                            <a:srgbClr val="FFEAC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6172200</wp:posOffset>
                </wp:positionH>
                <wp:positionV relativeFrom="page">
                  <wp:posOffset>-885824</wp:posOffset>
                </wp:positionV>
                <wp:extent cx="2066925" cy="5566193"/>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66925" cy="5566193"/>
                        </a:xfrm>
                        <a:prstGeom prst="rect"/>
                        <a:ln/>
                      </pic:spPr>
                    </pic:pic>
                  </a:graphicData>
                </a:graphic>
              </wp:anchor>
            </w:drawing>
          </mc:Fallback>
        </mc:AlternateContent>
      </w:r>
      <w:r w:rsidDel="00000000" w:rsidR="00000000" w:rsidRPr="00000000">
        <w:rPr>
          <w:rtl w:val="0"/>
        </w:rPr>
        <w:t xml:space="preserve">Compensation Pillars of Equity Assessment</w:t>
      </w:r>
      <w:r w:rsidDel="00000000" w:rsidR="00000000" w:rsidRPr="00000000">
        <w:rPr>
          <w:rtl w:val="0"/>
        </w:rPr>
      </w:r>
    </w:p>
    <w:p w:rsidR="00000000" w:rsidDel="00000000" w:rsidP="00000000" w:rsidRDefault="00000000" w:rsidRPr="00000000" w14:paraId="00000003">
      <w:pPr>
        <w:rPr>
          <w:rFonts w:ascii="Nunito Sans SemiBold" w:cs="Nunito Sans SemiBold" w:eastAsia="Nunito Sans SemiBold" w:hAnsi="Nunito Sans SemiBold"/>
          <w:sz w:val="36"/>
          <w:szCs w:val="36"/>
        </w:rPr>
      </w:pPr>
      <w:r w:rsidDel="00000000" w:rsidR="00000000" w:rsidRPr="00000000">
        <w:rPr>
          <w:rFonts w:ascii="Nunito Sans SemiBold" w:cs="Nunito Sans SemiBold" w:eastAsia="Nunito Sans SemiBold" w:hAnsi="Nunito Sans SemiBold"/>
          <w:sz w:val="36"/>
          <w:szCs w:val="36"/>
          <w:rtl w:val="0"/>
        </w:rPr>
        <w:t xml:space="preserve">Why Use This Worksheet</w:t>
      </w:r>
    </w:p>
    <w:p w:rsidR="00000000" w:rsidDel="00000000" w:rsidP="00000000" w:rsidRDefault="00000000" w:rsidRPr="00000000" w14:paraId="00000004">
      <w:pPr>
        <w:rPr/>
      </w:pPr>
      <w:r w:rsidDel="00000000" w:rsidR="00000000" w:rsidRPr="00000000">
        <w:rPr>
          <w:rtl w:val="0"/>
        </w:rPr>
        <w:t xml:space="preserve">The default approach to compensating talent isn't equitable. So we can’t use the old rules and systems and expect different results. We empower mission driven organizations like yours to reimagine the process, beginning by wrestling with the big questions—such as whether you pay people based on merit, experience, or both—to ensure decisions are grounded in your values. The worksheet beginning on the next page is intended to help you assess the extent to which your compensation program aligns to the core pillars of compensation equity we recommend to all our clients. We recommend you work with a diverse group of 3-5 colleagues from management as well as your HR/People team to work through this exercise together. </w:t>
      </w:r>
    </w:p>
    <w:p w:rsidR="00000000" w:rsidDel="00000000" w:rsidP="00000000" w:rsidRDefault="00000000" w:rsidRPr="00000000" w14:paraId="00000005">
      <w:pPr>
        <w:pStyle w:val="Heading1"/>
        <w:rPr/>
      </w:pPr>
      <w:bookmarkStart w:colFirst="0" w:colLast="0" w:name="_tajqgwrfok56" w:id="2"/>
      <w:bookmarkEnd w:id="2"/>
      <w:r w:rsidDel="00000000" w:rsidR="00000000" w:rsidRPr="00000000">
        <w:rPr>
          <w:rtl w:val="0"/>
        </w:rPr>
        <w:t xml:space="preserve">Assessment</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Use the scale below to assess the extent to which your compensation program aligns to the core pillars of compensation equity we recommend to all our clients.</w:t>
      </w:r>
    </w:p>
    <w:tbl>
      <w:tblPr>
        <w:tblStyle w:val="Table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8.75"/>
        <w:gridCol w:w="2328.75"/>
        <w:gridCol w:w="2328.75"/>
        <w:gridCol w:w="2328.75"/>
        <w:tblGridChange w:id="0">
          <w:tblGrid>
            <w:gridCol w:w="2328.75"/>
            <w:gridCol w:w="2328.75"/>
            <w:gridCol w:w="2328.75"/>
            <w:gridCol w:w="2328.75"/>
          </w:tblGrid>
        </w:tblGridChange>
      </w:tblGrid>
      <w:tr>
        <w:trPr>
          <w:cantSplit w:val="0"/>
          <w:trHeight w:val="420" w:hRule="atLeast"/>
          <w:tblHeader w:val="0"/>
        </w:trPr>
        <w:tc>
          <w:tcPr>
            <w:tcBorders>
              <w:top w:color="000000" w:space="0" w:sz="0" w:val="nil"/>
              <w:left w:color="000000" w:space="0" w:sz="0" w:val="nil"/>
              <w:bottom w:color="ffffff" w:space="0" w:sz="4" w:val="single"/>
              <w:right w:color="ffffff" w:space="0" w:sz="8" w:val="single"/>
            </w:tcBorders>
            <w:shd w:fill="232323" w:val="clear"/>
            <w:tcMar>
              <w:top w:w="100.0" w:type="dxa"/>
              <w:left w:w="100.0" w:type="dxa"/>
              <w:bottom w:w="100.0" w:type="dxa"/>
              <w:right w:w="100.0" w:type="dxa"/>
            </w:tcMar>
            <w:vAlign w:val="center"/>
          </w:tcPr>
          <w:p w:rsidR="00000000" w:rsidDel="00000000" w:rsidP="00000000" w:rsidRDefault="00000000" w:rsidRPr="00000000" w14:paraId="00000007">
            <w:pPr>
              <w:spacing w:after="0" w:line="240" w:lineRule="auto"/>
              <w:rPr>
                <w:color w:val="ffffff"/>
              </w:rPr>
            </w:pPr>
            <w:r w:rsidDel="00000000" w:rsidR="00000000" w:rsidRPr="00000000">
              <w:rPr>
                <w:b w:val="1"/>
                <w:color w:val="ffffff"/>
                <w:sz w:val="16"/>
                <w:szCs w:val="16"/>
                <w:rtl w:val="0"/>
              </w:rPr>
              <w:t xml:space="preserve">1</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a01850" w:val="clear"/>
            <w:tcMar>
              <w:top w:w="100.0" w:type="dxa"/>
              <w:left w:w="100.0" w:type="dxa"/>
              <w:bottom w:w="100.0" w:type="dxa"/>
              <w:right w:w="100.0" w:type="dxa"/>
            </w:tcMar>
            <w:vAlign w:val="center"/>
          </w:tcPr>
          <w:p w:rsidR="00000000" w:rsidDel="00000000" w:rsidP="00000000" w:rsidRDefault="00000000" w:rsidRPr="00000000" w14:paraId="00000008">
            <w:pPr>
              <w:spacing w:after="0" w:line="240" w:lineRule="auto"/>
              <w:rPr>
                <w:color w:val="ffffff"/>
              </w:rPr>
            </w:pPr>
            <w:r w:rsidDel="00000000" w:rsidR="00000000" w:rsidRPr="00000000">
              <w:rPr>
                <w:b w:val="1"/>
                <w:color w:val="ffffff"/>
                <w:sz w:val="16"/>
                <w:szCs w:val="16"/>
                <w:rtl w:val="0"/>
              </w:rPr>
              <w:t xml:space="preserve">2</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1863df" w:val="clear"/>
            <w:tcMar>
              <w:top w:w="100.0" w:type="dxa"/>
              <w:left w:w="100.0" w:type="dxa"/>
              <w:bottom w:w="100.0" w:type="dxa"/>
              <w:right w:w="100.0" w:type="dxa"/>
            </w:tcMar>
            <w:vAlign w:val="center"/>
          </w:tcPr>
          <w:p w:rsidR="00000000" w:rsidDel="00000000" w:rsidP="00000000" w:rsidRDefault="00000000" w:rsidRPr="00000000" w14:paraId="00000009">
            <w:pPr>
              <w:spacing w:after="0" w:line="240" w:lineRule="auto"/>
              <w:rPr>
                <w:color w:val="ffffff"/>
              </w:rPr>
            </w:pPr>
            <w:r w:rsidDel="00000000" w:rsidR="00000000" w:rsidRPr="00000000">
              <w:rPr>
                <w:b w:val="1"/>
                <w:color w:val="ffffff"/>
                <w:sz w:val="16"/>
                <w:szCs w:val="16"/>
                <w:rtl w:val="0"/>
              </w:rPr>
              <w:t xml:space="preserve">3</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ea9b11" w:val="clear"/>
            <w:tcMar>
              <w:top w:w="100.0" w:type="dxa"/>
              <w:left w:w="100.0" w:type="dxa"/>
              <w:bottom w:w="100.0" w:type="dxa"/>
              <w:right w:w="100.0" w:type="dxa"/>
            </w:tcMar>
            <w:vAlign w:val="center"/>
          </w:tcPr>
          <w:p w:rsidR="00000000" w:rsidDel="00000000" w:rsidP="00000000" w:rsidRDefault="00000000" w:rsidRPr="00000000" w14:paraId="0000000A">
            <w:pPr>
              <w:spacing w:after="0" w:line="240" w:lineRule="auto"/>
              <w:rPr>
                <w:b w:val="1"/>
                <w:color w:val="232323"/>
                <w:sz w:val="16"/>
                <w:szCs w:val="16"/>
              </w:rPr>
            </w:pPr>
            <w:r w:rsidDel="00000000" w:rsidR="00000000" w:rsidRPr="00000000">
              <w:rPr>
                <w:b w:val="1"/>
                <w:color w:val="232323"/>
                <w:sz w:val="16"/>
                <w:szCs w:val="16"/>
                <w:rtl w:val="0"/>
              </w:rPr>
              <w:t xml:space="preserve">4</w:t>
            </w:r>
          </w:p>
        </w:tc>
      </w:tr>
      <w:tr>
        <w:trPr>
          <w:cantSplit w:val="0"/>
          <w:tblHeader w:val="0"/>
        </w:trPr>
        <w:tc>
          <w:tcPr>
            <w:tcBorders>
              <w:top w:color="ffffff" w:space="0" w:sz="4" w:val="single"/>
              <w:left w:color="ffffff" w:space="0" w:sz="4" w:val="single"/>
              <w:bottom w:color="ffffff" w:space="0" w:sz="4" w:val="single"/>
              <w:right w:color="b7b7b7"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spacing w:after="0" w:line="240" w:lineRule="auto"/>
              <w:rPr>
                <w:sz w:val="16"/>
                <w:szCs w:val="16"/>
              </w:rPr>
            </w:pPr>
            <w:r w:rsidDel="00000000" w:rsidR="00000000" w:rsidRPr="00000000">
              <w:rPr>
                <w:sz w:val="16"/>
                <w:szCs w:val="16"/>
                <w:rtl w:val="0"/>
              </w:rPr>
              <w:t xml:space="preserve">We have no insight into this area.</w:t>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spacing w:after="0" w:line="240" w:lineRule="auto"/>
              <w:rPr>
                <w:sz w:val="16"/>
                <w:szCs w:val="16"/>
              </w:rPr>
            </w:pPr>
            <w:r w:rsidDel="00000000" w:rsidR="00000000" w:rsidRPr="00000000">
              <w:rPr>
                <w:sz w:val="16"/>
                <w:szCs w:val="16"/>
                <w:rtl w:val="0"/>
              </w:rPr>
              <w:t xml:space="preserve">This is not written in policy, but we have done this before. </w:t>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spacing w:after="0" w:line="240" w:lineRule="auto"/>
              <w:rPr>
                <w:sz w:val="16"/>
                <w:szCs w:val="16"/>
              </w:rPr>
            </w:pPr>
            <w:r w:rsidDel="00000000" w:rsidR="00000000" w:rsidRPr="00000000">
              <w:rPr>
                <w:sz w:val="16"/>
                <w:szCs w:val="16"/>
                <w:rtl w:val="0"/>
              </w:rPr>
              <w:t xml:space="preserve">This is our policy, but there is variance by team and manager. </w:t>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spacing w:after="0" w:line="240" w:lineRule="auto"/>
              <w:rPr>
                <w:sz w:val="16"/>
                <w:szCs w:val="16"/>
              </w:rPr>
            </w:pPr>
            <w:r w:rsidDel="00000000" w:rsidR="00000000" w:rsidRPr="00000000">
              <w:rPr>
                <w:sz w:val="16"/>
                <w:szCs w:val="16"/>
                <w:rtl w:val="0"/>
              </w:rPr>
              <w:t xml:space="preserve">This is consistently true across our organization.</w:t>
            </w:r>
          </w:p>
        </w:tc>
      </w:tr>
    </w:tbl>
    <w:p w:rsidR="00000000" w:rsidDel="00000000" w:rsidP="00000000" w:rsidRDefault="00000000" w:rsidRPr="00000000" w14:paraId="0000000F">
      <w:pPr>
        <w:rPr/>
        <w:sectPr>
          <w:headerReference r:id="rId8" w:type="default"/>
          <w:headerReference r:id="rId9" w:type="first"/>
          <w:footerReference r:id="rId10" w:type="default"/>
          <w:footerReference r:id="rId11" w:type="first"/>
          <w:pgSz w:h="15840" w:w="12240" w:orient="portrait"/>
          <w:pgMar w:bottom="1440" w:top="1440" w:left="1440" w:right="1440" w:header="0" w:footer="360"/>
          <w:pgNumType w:start="1"/>
        </w:sect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840"/>
        <w:tblGridChange w:id="0">
          <w:tblGrid>
            <w:gridCol w:w="8520"/>
            <w:gridCol w:w="840"/>
          </w:tblGrid>
        </w:tblGridChange>
      </w:tblGrid>
      <w:tr>
        <w:trPr>
          <w:cantSplit w:val="0"/>
          <w:trHeight w:val="440" w:hRule="atLeast"/>
          <w:tblHeader w:val="0"/>
        </w:trPr>
        <w:tc>
          <w:tcPr>
            <w:tcBorders>
              <w:top w:color="ffffff" w:space="0" w:sz="8" w:val="single"/>
              <w:left w:color="ffffff" w:space="0" w:sz="8" w:val="single"/>
              <w:bottom w:color="ffffff" w:space="0" w:sz="8" w:val="single"/>
              <w:right w:color="1863d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11">
            <w:pPr>
              <w:pStyle w:val="Heading2"/>
              <w:widowControl w:val="0"/>
              <w:spacing w:after="0" w:before="0" w:line="240" w:lineRule="auto"/>
              <w:rPr>
                <w:color w:val="ffffff"/>
              </w:rPr>
            </w:pPr>
            <w:bookmarkStart w:colFirst="0" w:colLast="0" w:name="_a5thdlxo45um" w:id="3"/>
            <w:bookmarkEnd w:id="3"/>
            <w:r w:rsidDel="00000000" w:rsidR="00000000" w:rsidRPr="00000000">
              <w:rPr>
                <w:color w:val="ffffff"/>
                <w:rtl w:val="0"/>
              </w:rPr>
              <w:t xml:space="preserve">Transparency </w:t>
            </w:r>
            <w:r w:rsidDel="00000000" w:rsidR="00000000" w:rsidRPr="00000000">
              <w:rPr>
                <w:rtl w:val="0"/>
              </w:rPr>
            </w:r>
          </w:p>
        </w:tc>
        <w:tc>
          <w:tcPr>
            <w:tcBorders>
              <w:top w:color="ffffff" w:space="0" w:sz="8" w:val="single"/>
              <w:left w:color="1863df" w:space="0" w:sz="8" w:val="single"/>
              <w:bottom w:color="ffffff" w:space="0" w:sz="8" w:val="single"/>
              <w:right w:color="fffff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rtl w:val="0"/>
              </w:rPr>
            </w:r>
          </w:p>
        </w:tc>
      </w:tr>
      <w:tr>
        <w:trPr>
          <w:cantSplit w:val="0"/>
          <w:trHeight w:val="180"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3">
            <w:pPr>
              <w:pStyle w:val="Heading2"/>
              <w:widowControl w:val="0"/>
              <w:spacing w:after="0" w:before="0" w:line="240" w:lineRule="auto"/>
              <w:rPr>
                <w:color w:val="ffffff"/>
                <w:sz w:val="12"/>
                <w:szCs w:val="12"/>
              </w:rPr>
            </w:pPr>
            <w:bookmarkStart w:colFirst="0" w:colLast="0" w:name="_a5thdlxo45um" w:id="3"/>
            <w:bookmarkEnd w:id="3"/>
            <w:r w:rsidDel="00000000" w:rsidR="00000000" w:rsidRPr="00000000">
              <w:rPr>
                <w:rtl w:val="0"/>
              </w:rPr>
            </w:r>
          </w:p>
        </w:tc>
        <w:tc>
          <w:tcPr>
            <w:tcBorders>
              <w:top w:color="ffffff" w:space="0" w:sz="8" w:val="single"/>
              <w:left w:color="ffffff" w:space="0" w:sz="8" w:val="single"/>
              <w:bottom w:color="1863d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2"/>
                <w:szCs w:val="12"/>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8"/>
                <w:szCs w:val="18"/>
              </w:rPr>
            </w:pPr>
            <w:r w:rsidDel="00000000" w:rsidR="00000000" w:rsidRPr="00000000">
              <w:rPr>
                <w:b w:val="1"/>
                <w:color w:val="000000"/>
                <w:sz w:val="18"/>
                <w:szCs w:val="18"/>
                <w:rtl w:val="0"/>
              </w:rPr>
              <w:t xml:space="preserve">We publish salary ranges for each role.</w:t>
            </w:r>
            <w:r w:rsidDel="00000000" w:rsidR="00000000" w:rsidRPr="00000000">
              <w:rPr>
                <w:rtl w:val="0"/>
              </w:rPr>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18"/>
                <w:szCs w:val="18"/>
              </w:rPr>
            </w:pPr>
            <w:r w:rsidDel="00000000" w:rsidR="00000000" w:rsidRPr="00000000">
              <w:rPr>
                <w:sz w:val="18"/>
                <w:szCs w:val="18"/>
                <w:rtl w:val="0"/>
              </w:rPr>
              <w:t xml:space="preserve">Candidates should know how a role will be compensated in your organization. This helps them decide whether a role fits their personal requirements without having to disclose their individual salary needs to a hiring manager.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0"/>
                <w:szCs w:val="10"/>
              </w:rPr>
            </w:pPr>
            <w:r w:rsidDel="00000000" w:rsidR="00000000" w:rsidRPr="00000000">
              <w:rPr>
                <w:rtl w:val="0"/>
              </w:rPr>
            </w:r>
          </w:p>
        </w:tc>
        <w:tc>
          <w:tcPr>
            <w:tcBorders>
              <w:top w:color="1863d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numPr>
                <w:ilvl w:val="0"/>
                <w:numId w:val="1"/>
              </w:numPr>
              <w:spacing w:after="0" w:line="240" w:lineRule="auto"/>
              <w:ind w:left="720" w:hanging="360"/>
              <w:rPr>
                <w:b w:val="1"/>
                <w:color w:val="000000"/>
                <w:sz w:val="18"/>
                <w:szCs w:val="18"/>
              </w:rPr>
            </w:pPr>
            <w:r w:rsidDel="00000000" w:rsidR="00000000" w:rsidRPr="00000000">
              <w:rPr>
                <w:b w:val="1"/>
                <w:sz w:val="18"/>
                <w:szCs w:val="18"/>
                <w:rtl w:val="0"/>
              </w:rPr>
              <w:t xml:space="preserve">We tell candidates how their experiences have </w:t>
            </w:r>
            <w:r w:rsidDel="00000000" w:rsidR="00000000" w:rsidRPr="00000000">
              <w:rPr>
                <w:b w:val="1"/>
                <w:color w:val="000000"/>
                <w:sz w:val="18"/>
                <w:szCs w:val="18"/>
                <w:rtl w:val="0"/>
              </w:rPr>
              <w:t xml:space="preserve">been assessed.</w:t>
            </w:r>
            <w:r w:rsidDel="00000000" w:rsidR="00000000" w:rsidRPr="00000000">
              <w:rPr>
                <w:rtl w:val="0"/>
              </w:rPr>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ind w:left="360" w:firstLine="0"/>
              <w:rPr>
                <w:sz w:val="18"/>
                <w:szCs w:val="18"/>
              </w:rPr>
            </w:pPr>
            <w:r w:rsidDel="00000000" w:rsidR="00000000" w:rsidRPr="00000000">
              <w:rPr>
                <w:sz w:val="18"/>
                <w:szCs w:val="18"/>
                <w:rtl w:val="0"/>
              </w:rPr>
              <w:t xml:space="preserve">If starting base salaries are determined by an assessment of candidate experience, it’s crucial to loop back with a staff member and let them know where you saw strengths and needs so they understand their placement on the salary range and their potential for salary growth within a role.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1863d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ind w:left="720" w:hanging="360"/>
              <w:rPr/>
            </w:pPr>
            <w:r w:rsidDel="00000000" w:rsidR="00000000" w:rsidRPr="00000000">
              <w:rPr>
                <w:rtl w:val="0"/>
              </w:rPr>
            </w:r>
          </w:p>
        </w:tc>
        <w:tc>
          <w:tcPr>
            <w:tcBorders>
              <w:top w:color="ffffff" w:space="0" w:sz="8" w:val="single"/>
              <w:left w:color="ffffff" w:space="0" w:sz="8" w:val="single"/>
              <w:bottom w:color="1863d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863df"/>
              </w:rPr>
            </w:pPr>
            <w:r w:rsidDel="00000000" w:rsidR="00000000" w:rsidRPr="00000000">
              <w:rPr>
                <w:rtl w:val="0"/>
              </w:rPr>
            </w:r>
          </w:p>
        </w:tc>
      </w:tr>
      <w:tr>
        <w:trPr>
          <w:cantSplit w:val="0"/>
          <w:trHeight w:val="440" w:hRule="atLeast"/>
          <w:tblHeader w:val="0"/>
        </w:trPr>
        <w:tc>
          <w:tcPr>
            <w:tcBorders>
              <w:top w:color="1863df" w:space="0" w:sz="8" w:val="single"/>
              <w:left w:color="1863df" w:space="0" w:sz="8" w:val="single"/>
              <w:bottom w:color="1863df" w:space="0" w:sz="8" w:val="single"/>
              <w:right w:color="1863d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0" w:firstLine="0"/>
              <w:rPr>
                <w:color w:val="ffffff"/>
              </w:rPr>
            </w:pPr>
            <w:r w:rsidDel="00000000" w:rsidR="00000000" w:rsidRPr="00000000">
              <w:rPr>
                <w:rFonts w:ascii="Nunito Sans SemiBold" w:cs="Nunito Sans SemiBold" w:eastAsia="Nunito Sans SemiBold" w:hAnsi="Nunito Sans SemiBold"/>
                <w:color w:val="ffffff"/>
                <w:sz w:val="24"/>
                <w:szCs w:val="24"/>
                <w:rtl w:val="0"/>
              </w:rPr>
              <w:t xml:space="preserve">Parity</w:t>
            </w:r>
            <w:r w:rsidDel="00000000" w:rsidR="00000000" w:rsidRPr="00000000">
              <w:rPr>
                <w:rtl w:val="0"/>
              </w:rPr>
            </w:r>
          </w:p>
        </w:tc>
        <w:tc>
          <w:tcPr>
            <w:tcBorders>
              <w:top w:color="1863df" w:space="0" w:sz="8" w:val="single"/>
              <w:left w:color="1863df" w:space="0" w:sz="8" w:val="single"/>
              <w:bottom w:color="1863df" w:space="0" w:sz="8" w:val="single"/>
              <w:right w:color="1863d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rtl w:val="0"/>
              </w:rPr>
            </w:r>
          </w:p>
        </w:tc>
      </w:tr>
      <w:tr>
        <w:trPr>
          <w:cantSplit w:val="0"/>
          <w:trHeight w:val="285"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3">
            <w:pPr>
              <w:pStyle w:val="Heading2"/>
              <w:widowControl w:val="0"/>
              <w:spacing w:after="0" w:before="0" w:line="240" w:lineRule="auto"/>
              <w:rPr>
                <w:color w:val="ffffff"/>
                <w:sz w:val="12"/>
                <w:szCs w:val="12"/>
              </w:rPr>
            </w:pPr>
            <w:bookmarkStart w:colFirst="0" w:colLast="0" w:name="_jfm9v06vlcu6" w:id="4"/>
            <w:bookmarkEnd w:id="4"/>
            <w:r w:rsidDel="00000000" w:rsidR="00000000" w:rsidRPr="00000000">
              <w:rPr>
                <w:rtl w:val="0"/>
              </w:rPr>
            </w:r>
          </w:p>
        </w:tc>
        <w:tc>
          <w:tcPr>
            <w:tcBorders>
              <w:top w:color="ffffff" w:space="0" w:sz="8" w:val="single"/>
              <w:left w:color="ffffff" w:space="0" w:sz="8" w:val="single"/>
              <w:bottom w:color="1863d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jc w:val="center"/>
              <w:rPr>
                <w:b w:val="1"/>
                <w:color w:val="ffffff"/>
                <w:sz w:val="12"/>
                <w:szCs w:val="12"/>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Employees with the same role are paid on the same scale.</w:t>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40" w:lineRule="auto"/>
              <w:ind w:left="360" w:firstLine="0"/>
              <w:rPr>
                <w:sz w:val="18"/>
                <w:szCs w:val="18"/>
              </w:rPr>
            </w:pPr>
            <w:r w:rsidDel="00000000" w:rsidR="00000000" w:rsidRPr="00000000">
              <w:rPr>
                <w:sz w:val="18"/>
                <w:szCs w:val="18"/>
                <w:rtl w:val="0"/>
              </w:rPr>
              <w:t xml:space="preserve">Equal pay means people in the same role make the same salary. Equitable pay is about compensating staff consistently using the same, transparent criteria for a common salary scale. Employers should be able to justify salary differences based on staff member experience, credentials, competency or performance.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863df"/>
              </w:rPr>
            </w:pPr>
            <w:r w:rsidDel="00000000" w:rsidR="00000000" w:rsidRPr="00000000">
              <w:rPr>
                <w:rtl w:val="0"/>
              </w:rPr>
            </w:r>
          </w:p>
        </w:tc>
      </w:tr>
      <w:tr>
        <w:trPr>
          <w:cantSplit w:val="0"/>
          <w:trHeight w:val="4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8"/>
                <w:szCs w:val="18"/>
              </w:rPr>
            </w:pPr>
            <w:r w:rsidDel="00000000" w:rsidR="00000000" w:rsidRPr="00000000">
              <w:rPr>
                <w:b w:val="1"/>
                <w:sz w:val="18"/>
                <w:szCs w:val="18"/>
                <w:rtl w:val="0"/>
              </w:rPr>
              <w:t xml:space="preserve">We use job level bands, not individual ranges, to determine salaries.</w:t>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jc w:val="center"/>
              <w:rPr>
                <w:b w:val="1"/>
                <w:color w:val="1863df"/>
              </w:rPr>
            </w:pPr>
            <w:r w:rsidDel="00000000" w:rsidR="00000000" w:rsidRPr="00000000">
              <w:rPr>
                <w:rtl w:val="0"/>
              </w:rPr>
            </w:r>
          </w:p>
        </w:tc>
      </w:tr>
      <w:tr>
        <w:trPr>
          <w:cantSplit w:val="0"/>
          <w:trHeight w:val="1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ind w:left="360" w:firstLine="0"/>
              <w:rPr>
                <w:sz w:val="18"/>
                <w:szCs w:val="18"/>
              </w:rPr>
            </w:pPr>
            <w:r w:rsidDel="00000000" w:rsidR="00000000" w:rsidRPr="00000000">
              <w:rPr>
                <w:sz w:val="18"/>
                <w:szCs w:val="18"/>
                <w:rtl w:val="0"/>
              </w:rPr>
              <w:t xml:space="preserve">The market often values roles of similar complexity differently, meaning people in different departments with the same scope of work won’t make the same salaries. Historically there is a premium applied to fields severely lacking in diversity. Compensation structures can correct for that by grouping roles together by scope and responsibilities.</w:t>
            </w:r>
            <w:r w:rsidDel="00000000" w:rsidR="00000000" w:rsidRPr="00000000">
              <w:rPr>
                <w:rtl w:val="0"/>
              </w:rPr>
            </w:r>
          </w:p>
        </w:tc>
        <w:tc>
          <w:tcPr>
            <w:tcBorders>
              <w:top w:color="ffffff" w:space="0" w:sz="8" w:val="single"/>
              <w:left w:color="ffffff" w:space="0" w:sz="8" w:val="single"/>
              <w:bottom w:color="1863d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863df"/>
                <w:sz w:val="22"/>
                <w:szCs w:val="22"/>
              </w:rPr>
            </w:pPr>
            <w:r w:rsidDel="00000000" w:rsidR="00000000" w:rsidRPr="00000000">
              <w:rPr>
                <w:rtl w:val="0"/>
              </w:rPr>
            </w:r>
          </w:p>
        </w:tc>
      </w:tr>
      <w:tr>
        <w:trPr>
          <w:cantSplit w:val="0"/>
          <w:trHeight w:val="225" w:hRule="atLeast"/>
          <w:tblHeader w:val="0"/>
        </w:trPr>
        <w:tc>
          <w:tcPr>
            <w:tcBorders>
              <w:top w:color="ffffff" w:space="0" w:sz="8" w:val="single"/>
              <w:left w:color="ffffff" w:space="0" w:sz="8" w:val="single"/>
              <w:bottom w:color="fffff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We pay the market rate for a set of responsibilities, not just job titles</w:t>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863df"/>
                <w:sz w:val="22"/>
                <w:szCs w:val="22"/>
              </w:rPr>
            </w:pPr>
            <w:r w:rsidDel="00000000" w:rsidR="00000000" w:rsidRPr="00000000">
              <w:rPr>
                <w:rtl w:val="0"/>
              </w:rPr>
            </w:r>
          </w:p>
        </w:tc>
      </w:tr>
      <w:tr>
        <w:trPr>
          <w:cantSplit w:val="0"/>
          <w:trHeight w:val="2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ind w:left="360" w:firstLine="0"/>
              <w:rPr>
                <w:sz w:val="18"/>
                <w:szCs w:val="18"/>
              </w:rPr>
            </w:pPr>
            <w:r w:rsidDel="00000000" w:rsidR="00000000" w:rsidRPr="00000000">
              <w:rPr>
                <w:sz w:val="18"/>
                <w:szCs w:val="18"/>
                <w:rtl w:val="0"/>
              </w:rPr>
              <w:t xml:space="preserve">Titles vary dramatically across organizations, so benchmarking by title alone prevents an employer from valuing contributions appropriately. </w:t>
            </w:r>
          </w:p>
        </w:tc>
        <w:tc>
          <w:tcPr>
            <w:tcBorders>
              <w:top w:color="1863d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863df"/>
                <w:sz w:val="22"/>
                <w:szCs w:val="22"/>
              </w:rPr>
            </w:pPr>
            <w:r w:rsidDel="00000000" w:rsidR="00000000" w:rsidRPr="00000000">
              <w:rPr>
                <w:rtl w:val="0"/>
              </w:rPr>
            </w:r>
          </w:p>
        </w:tc>
      </w:tr>
    </w:tbl>
    <w:p w:rsidR="00000000" w:rsidDel="00000000" w:rsidP="00000000" w:rsidRDefault="00000000" w:rsidRPr="00000000" w14:paraId="00000031">
      <w:pPr>
        <w:widowControl w:val="0"/>
        <w:spacing w:after="0" w:line="240" w:lineRule="auto"/>
        <w:rPr/>
        <w:sectPr>
          <w:type w:val="nextPage"/>
          <w:pgSz w:h="15840" w:w="12240" w:orient="portrait"/>
          <w:pgMar w:bottom="1440" w:top="1440" w:left="1440" w:right="1440" w:header="0" w:footer="360"/>
        </w:sectPr>
      </w:pPr>
      <w:r w:rsidDel="00000000" w:rsidR="00000000" w:rsidRPr="00000000">
        <w:rPr>
          <w:rtl w:val="0"/>
        </w:rPr>
      </w:r>
    </w:p>
    <w:p w:rsidR="00000000" w:rsidDel="00000000" w:rsidP="00000000" w:rsidRDefault="00000000" w:rsidRPr="00000000" w14:paraId="00000032">
      <w:pPr>
        <w:widowControl w:val="0"/>
        <w:spacing w:after="0" w:line="240"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840"/>
        <w:tblGridChange w:id="0">
          <w:tblGrid>
            <w:gridCol w:w="8520"/>
            <w:gridCol w:w="840"/>
          </w:tblGrid>
        </w:tblGridChange>
      </w:tblGrid>
      <w:tr>
        <w:trPr>
          <w:cantSplit w:val="0"/>
          <w:trHeight w:val="440" w:hRule="atLeast"/>
          <w:tblHeader w:val="0"/>
        </w:trPr>
        <w:tc>
          <w:tcPr>
            <w:tcBorders>
              <w:top w:color="1863df" w:space="0" w:sz="8" w:val="single"/>
              <w:left w:color="1863df" w:space="0" w:sz="8" w:val="single"/>
              <w:bottom w:color="1863df" w:space="0" w:sz="8" w:val="single"/>
              <w:right w:color="1863d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rPr>
                <w:color w:val="ffffff"/>
              </w:rPr>
            </w:pPr>
            <w:r w:rsidDel="00000000" w:rsidR="00000000" w:rsidRPr="00000000">
              <w:rPr>
                <w:rFonts w:ascii="Nunito Sans SemiBold" w:cs="Nunito Sans SemiBold" w:eastAsia="Nunito Sans SemiBold" w:hAnsi="Nunito Sans SemiBold"/>
                <w:color w:val="ffffff"/>
                <w:sz w:val="24"/>
                <w:szCs w:val="24"/>
                <w:rtl w:val="0"/>
              </w:rPr>
              <w:t xml:space="preserve">Consistency</w:t>
            </w:r>
            <w:r w:rsidDel="00000000" w:rsidR="00000000" w:rsidRPr="00000000">
              <w:rPr>
                <w:rtl w:val="0"/>
              </w:rPr>
            </w:r>
          </w:p>
        </w:tc>
        <w:tc>
          <w:tcPr>
            <w:tcBorders>
              <w:top w:color="1863df" w:space="0" w:sz="8" w:val="single"/>
              <w:left w:color="1863df" w:space="0" w:sz="8" w:val="single"/>
              <w:bottom w:color="1863df" w:space="0" w:sz="8" w:val="single"/>
              <w:right w:color="1863df" w:space="0" w:sz="8" w:val="single"/>
            </w:tcBorders>
            <w:shd w:fill="1863df"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b w:val="1"/>
                <w:color w:val="fffff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5">
            <w:pPr>
              <w:pStyle w:val="Heading2"/>
              <w:widowControl w:val="0"/>
              <w:spacing w:after="0" w:before="0" w:line="240" w:lineRule="auto"/>
              <w:rPr>
                <w:color w:val="ffffff"/>
                <w:sz w:val="12"/>
                <w:szCs w:val="12"/>
              </w:rPr>
            </w:pPr>
            <w:bookmarkStart w:colFirst="0" w:colLast="0" w:name="_os1gpesdt0l" w:id="5"/>
            <w:bookmarkEnd w:id="5"/>
            <w:r w:rsidDel="00000000" w:rsidR="00000000" w:rsidRPr="00000000">
              <w:rPr>
                <w:rtl w:val="0"/>
              </w:rPr>
            </w:r>
          </w:p>
        </w:tc>
        <w:tc>
          <w:tcPr>
            <w:tcBorders>
              <w:top w:color="ffffff" w:space="0" w:sz="8" w:val="single"/>
              <w:left w:color="ffffff" w:space="0" w:sz="8" w:val="single"/>
              <w:bottom w:color="1863df" w:space="0" w:sz="8" w:val="single"/>
              <w:right w:color="ffffff"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b w:val="1"/>
                <w:color w:val="ffffff"/>
                <w:sz w:val="12"/>
                <w:szCs w:val="12"/>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We have a structure that clarifies how employees are paid and limits manager discretion.</w:t>
              <w:tab/>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ind w:left="360" w:firstLine="0"/>
              <w:rPr>
                <w:sz w:val="18"/>
                <w:szCs w:val="18"/>
              </w:rPr>
            </w:pPr>
            <w:r w:rsidDel="00000000" w:rsidR="00000000" w:rsidRPr="00000000">
              <w:rPr>
                <w:sz w:val="18"/>
                <w:szCs w:val="18"/>
                <w:rtl w:val="0"/>
              </w:rPr>
              <w:t xml:space="preserve">Managers are human, and want their staff to feel supported. Without policy that clarifies how salaries are set and adjusted, managers are susceptible to bias-driven compensation. The human resources team should collaborate with managers to ensure experience, competency or performance has been assessed accurately so that compensation is fair.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We have a non-negotiation policy.</w:t>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ind w:left="360" w:firstLine="0"/>
              <w:rPr>
                <w:sz w:val="18"/>
                <w:szCs w:val="18"/>
              </w:rPr>
            </w:pPr>
            <w:r w:rsidDel="00000000" w:rsidR="00000000" w:rsidRPr="00000000">
              <w:rPr>
                <w:sz w:val="18"/>
                <w:szCs w:val="18"/>
                <w:rtl w:val="0"/>
              </w:rPr>
              <w:t xml:space="preserve">There is no fair way to approach salary negotiations. At the root of it, people only have to negotiate when employers lowball the salary offer. In addition, research demonstrates that no matter how trained women and people of color are as negotiators, they are not more likely to receive an adjusted counter offer. If negotiation is allowed, it disproportionately advantages the majority and undermines efforts for internal parity.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numPr>
                <w:ilvl w:val="0"/>
                <w:numId w:val="1"/>
              </w:numPr>
              <w:spacing w:after="0" w:line="240" w:lineRule="auto"/>
              <w:ind w:left="720" w:hanging="360"/>
              <w:rPr>
                <w:b w:val="1"/>
                <w:sz w:val="18"/>
                <w:szCs w:val="18"/>
              </w:rPr>
            </w:pPr>
            <w:r w:rsidDel="00000000" w:rsidR="00000000" w:rsidRPr="00000000">
              <w:rPr>
                <w:b w:val="1"/>
                <w:sz w:val="18"/>
                <w:szCs w:val="18"/>
                <w:rtl w:val="0"/>
              </w:rPr>
              <w:t xml:space="preserve">Employees understand how their salaries are determined and do not have to advocate for themselves.</w:t>
            </w:r>
          </w:p>
        </w:tc>
        <w:tc>
          <w:tcPr>
            <w:tcBorders>
              <w:top w:color="1863df" w:space="0" w:sz="8" w:val="single"/>
              <w:left w:color="1863df" w:space="0" w:sz="8" w:val="single"/>
              <w:bottom w:color="1863df" w:space="0" w:sz="8" w:val="single"/>
              <w:right w:color="1863d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jc w:val="center"/>
              <w:rPr>
                <w:b w:val="1"/>
                <w:color w:val="1863df"/>
              </w:rPr>
            </w:pPr>
            <w:r w:rsidDel="00000000" w:rsidR="00000000" w:rsidRPr="00000000">
              <w:rPr>
                <w:rtl w:val="0"/>
              </w:rPr>
            </w:r>
          </w:p>
        </w:tc>
      </w:tr>
      <w:tr>
        <w:trPr>
          <w:cantSplit w:val="0"/>
          <w:trHeight w:val="4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ind w:left="360" w:firstLine="0"/>
              <w:rPr>
                <w:sz w:val="18"/>
                <w:szCs w:val="18"/>
              </w:rPr>
            </w:pPr>
            <w:r w:rsidDel="00000000" w:rsidR="00000000" w:rsidRPr="00000000">
              <w:rPr>
                <w:sz w:val="18"/>
                <w:szCs w:val="18"/>
                <w:rtl w:val="0"/>
              </w:rPr>
              <w:t xml:space="preserve">If staff are expected to ask for a raise and demonstrate why they’ve earned it, it’s likely many staff will never do so. Instead, a more equitable approach is to ensure there is a process to calibrate at least annually and make proactive adjustments to base pay. Research proves that some staff are less likely to have a manager advocating on their behalf and advocacy based salary increases do not produce an equitable distribution of pay increases.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b w:val="1"/>
                <w:color w:val="1863df"/>
              </w:rPr>
            </w:pPr>
            <w:r w:rsidDel="00000000" w:rsidR="00000000" w:rsidRPr="00000000">
              <w:rPr>
                <w:rtl w:val="0"/>
              </w:rPr>
            </w:r>
          </w:p>
        </w:tc>
      </w:tr>
    </w:tbl>
    <w:p w:rsidR="00000000" w:rsidDel="00000000" w:rsidP="00000000" w:rsidRDefault="00000000" w:rsidRPr="00000000" w14:paraId="00000043">
      <w:pPr>
        <w:widowControl w:val="0"/>
        <w:spacing w:after="0" w:line="240" w:lineRule="auto"/>
        <w:rPr/>
      </w:pPr>
      <w:r w:rsidDel="00000000" w:rsidR="00000000" w:rsidRPr="00000000">
        <w:rPr>
          <w:rtl w:val="0"/>
        </w:rPr>
      </w:r>
    </w:p>
    <w:p w:rsidR="00000000" w:rsidDel="00000000" w:rsidP="00000000" w:rsidRDefault="00000000" w:rsidRPr="00000000" w14:paraId="00000044">
      <w:pPr>
        <w:widowControl w:val="0"/>
        <w:spacing w:after="0" w:line="240" w:lineRule="auto"/>
        <w:rPr/>
      </w:pPr>
      <w:r w:rsidDel="00000000" w:rsidR="00000000" w:rsidRPr="00000000">
        <w:rPr>
          <w:rtl w:val="0"/>
        </w:rPr>
      </w:r>
    </w:p>
    <w:tbl>
      <w:tblPr>
        <w:tblStyle w:val="Table4"/>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535"/>
        <w:gridCol w:w="2535"/>
        <w:gridCol w:w="2550"/>
        <w:tblGridChange w:id="0">
          <w:tblGrid>
            <w:gridCol w:w="1875"/>
            <w:gridCol w:w="2535"/>
            <w:gridCol w:w="2535"/>
            <w:gridCol w:w="2550"/>
          </w:tblGrid>
        </w:tblGridChange>
      </w:tblGrid>
      <w:tr>
        <w:trPr>
          <w:cantSplit w:val="0"/>
          <w:trHeight w:val="420" w:hRule="atLeast"/>
          <w:tblHeader w:val="0"/>
        </w:trPr>
        <w:tc>
          <w:tcPr>
            <w:tcBorders>
              <w:top w:color="000000" w:space="0" w:sz="0" w:val="nil"/>
              <w:left w:color="000000" w:space="0" w:sz="0" w:val="nil"/>
              <w:bottom w:color="ffffff" w:space="0" w:sz="4" w:val="single"/>
              <w:right w:color="ffffff" w:space="0" w:sz="8" w:val="single"/>
            </w:tcBorders>
            <w:shd w:fill="232323" w:val="clear"/>
            <w:tcMar>
              <w:top w:w="100.0" w:type="dxa"/>
              <w:left w:w="100.0" w:type="dxa"/>
              <w:bottom w:w="100.0" w:type="dxa"/>
              <w:right w:w="100.0" w:type="dxa"/>
            </w:tcMar>
            <w:vAlign w:val="center"/>
          </w:tcPr>
          <w:p w:rsidR="00000000" w:rsidDel="00000000" w:rsidP="00000000" w:rsidRDefault="00000000" w:rsidRPr="00000000" w14:paraId="00000045">
            <w:pPr>
              <w:spacing w:after="0" w:line="240" w:lineRule="auto"/>
              <w:rPr>
                <w:color w:val="ffffff"/>
              </w:rPr>
            </w:pPr>
            <w:r w:rsidDel="00000000" w:rsidR="00000000" w:rsidRPr="00000000">
              <w:rPr>
                <w:b w:val="1"/>
                <w:color w:val="ffffff"/>
                <w:sz w:val="16"/>
                <w:szCs w:val="16"/>
                <w:rtl w:val="0"/>
              </w:rPr>
              <w:t xml:space="preserve">TOTAL SCORE</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a01850" w:val="clear"/>
            <w:tcMar>
              <w:top w:w="100.0" w:type="dxa"/>
              <w:left w:w="100.0" w:type="dxa"/>
              <w:bottom w:w="100.0" w:type="dxa"/>
              <w:right w:w="100.0" w:type="dxa"/>
            </w:tcMar>
            <w:vAlign w:val="center"/>
          </w:tcPr>
          <w:p w:rsidR="00000000" w:rsidDel="00000000" w:rsidP="00000000" w:rsidRDefault="00000000" w:rsidRPr="00000000" w14:paraId="00000046">
            <w:pPr>
              <w:spacing w:after="0" w:line="240" w:lineRule="auto"/>
              <w:rPr>
                <w:color w:val="ffffff"/>
              </w:rPr>
            </w:pPr>
            <w:r w:rsidDel="00000000" w:rsidR="00000000" w:rsidRPr="00000000">
              <w:rPr>
                <w:b w:val="1"/>
                <w:color w:val="ffffff"/>
                <w:sz w:val="16"/>
                <w:szCs w:val="16"/>
                <w:rtl w:val="0"/>
              </w:rPr>
              <w:t xml:space="preserve">0-16</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1863df"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color w:val="ffffff"/>
              </w:rPr>
            </w:pPr>
            <w:r w:rsidDel="00000000" w:rsidR="00000000" w:rsidRPr="00000000">
              <w:rPr>
                <w:b w:val="1"/>
                <w:color w:val="ffffff"/>
                <w:sz w:val="16"/>
                <w:szCs w:val="16"/>
                <w:rtl w:val="0"/>
              </w:rPr>
              <w:t xml:space="preserve">17-29</w:t>
            </w:r>
            <w:r w:rsidDel="00000000" w:rsidR="00000000" w:rsidRPr="00000000">
              <w:rPr>
                <w:rtl w:val="0"/>
              </w:rPr>
            </w:r>
          </w:p>
        </w:tc>
        <w:tc>
          <w:tcPr>
            <w:tcBorders>
              <w:top w:color="000000" w:space="0" w:sz="0" w:val="nil"/>
              <w:left w:color="ffffff" w:space="0" w:sz="8" w:val="single"/>
              <w:bottom w:color="ffffff" w:space="0" w:sz="4" w:val="single"/>
              <w:right w:color="000000" w:space="0" w:sz="0" w:val="nil"/>
            </w:tcBorders>
            <w:shd w:fill="ea9b11" w:val="clear"/>
            <w:tcMar>
              <w:top w:w="100.0" w:type="dxa"/>
              <w:left w:w="100.0" w:type="dxa"/>
              <w:bottom w:w="100.0" w:type="dxa"/>
              <w:right w:w="100.0" w:type="dxa"/>
            </w:tcMar>
            <w:vAlign w:val="center"/>
          </w:tcPr>
          <w:p w:rsidR="00000000" w:rsidDel="00000000" w:rsidP="00000000" w:rsidRDefault="00000000" w:rsidRPr="00000000" w14:paraId="00000048">
            <w:pPr>
              <w:spacing w:after="0" w:line="240" w:lineRule="auto"/>
              <w:rPr>
                <w:b w:val="1"/>
                <w:color w:val="232323"/>
                <w:sz w:val="16"/>
                <w:szCs w:val="16"/>
              </w:rPr>
            </w:pPr>
            <w:r w:rsidDel="00000000" w:rsidR="00000000" w:rsidRPr="00000000">
              <w:rPr>
                <w:b w:val="1"/>
                <w:color w:val="232323"/>
                <w:sz w:val="16"/>
                <w:szCs w:val="16"/>
                <w:rtl w:val="0"/>
              </w:rPr>
              <w:t xml:space="preserve">30-32</w:t>
            </w:r>
          </w:p>
        </w:tc>
      </w:tr>
      <w:tr>
        <w:trPr>
          <w:cantSplit w:val="0"/>
          <w:tblHeader w:val="0"/>
        </w:trPr>
        <w:tc>
          <w:tcPr>
            <w:tcBorders>
              <w:top w:color="ffffff" w:space="0" w:sz="4" w:val="single"/>
              <w:left w:color="ffffff" w:space="0" w:sz="4" w:val="single"/>
              <w:bottom w:color="ffffff" w:space="0" w:sz="4" w:val="single"/>
              <w:right w:color="b7b7b7"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after="0" w:line="240" w:lineRule="auto"/>
              <w:rPr>
                <w:sz w:val="16"/>
                <w:szCs w:val="16"/>
              </w:rPr>
            </w:pPr>
            <w:r w:rsidDel="00000000" w:rsidR="00000000" w:rsidRPr="00000000">
              <w:rPr>
                <w:rtl w:val="0"/>
              </w:rPr>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sz w:val="16"/>
                <w:szCs w:val="16"/>
              </w:rPr>
            </w:pPr>
            <w:r w:rsidDel="00000000" w:rsidR="00000000" w:rsidRPr="00000000">
              <w:rPr>
                <w:sz w:val="16"/>
                <w:szCs w:val="16"/>
                <w:rtl w:val="0"/>
              </w:rPr>
              <w:t xml:space="preserve">You might be feeling overwhelmed...we’re here to help.</w:t>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16"/>
                <w:szCs w:val="16"/>
              </w:rPr>
            </w:pPr>
            <w:r w:rsidDel="00000000" w:rsidR="00000000" w:rsidRPr="00000000">
              <w:rPr>
                <w:sz w:val="16"/>
                <w:szCs w:val="16"/>
                <w:rtl w:val="0"/>
              </w:rPr>
              <w:t xml:space="preserve">You have some bright spots, but have critical areas requiring improvement.</w:t>
            </w:r>
          </w:p>
        </w:tc>
        <w:tc>
          <w:tcPr>
            <w:tcBorders>
              <w:top w:color="ffffff" w:space="0" w:sz="4" w:val="single"/>
              <w:left w:color="b7b7b7" w:space="0" w:sz="4" w:val="single"/>
              <w:bottom w:color="ffffff" w:space="0" w:sz="4" w:val="single"/>
              <w:right w:color="fffff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spacing w:after="0" w:line="240" w:lineRule="auto"/>
              <w:rPr>
                <w:sz w:val="16"/>
                <w:szCs w:val="16"/>
              </w:rPr>
            </w:pPr>
            <w:r w:rsidDel="00000000" w:rsidR="00000000" w:rsidRPr="00000000">
              <w:rPr>
                <w:sz w:val="16"/>
                <w:szCs w:val="16"/>
                <w:rtl w:val="0"/>
              </w:rPr>
              <w:t xml:space="preserve">You’ve got this; keep up the great work!</w:t>
            </w:r>
          </w:p>
        </w:tc>
      </w:tr>
    </w:tbl>
    <w:p w:rsidR="00000000" w:rsidDel="00000000" w:rsidP="00000000" w:rsidRDefault="00000000" w:rsidRPr="00000000" w14:paraId="0000004D">
      <w:pPr>
        <w:rPr/>
      </w:pPr>
      <w:r w:rsidDel="00000000" w:rsidR="00000000" w:rsidRPr="00000000">
        <w:rPr>
          <w:rtl w:val="0"/>
        </w:rPr>
      </w:r>
    </w:p>
    <w:sectPr>
      <w:type w:val="nextPage"/>
      <w:pgSz w:h="15840" w:w="12240" w:orient="portrait"/>
      <w:pgMar w:bottom="1440" w:top="1440" w:left="1440" w:right="1440" w:header="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Style w:val="Heading4"/>
      <w:pageBreakBefore w:val="0"/>
      <w:rPr>
        <w:rFonts w:ascii="Nunito Sans" w:cs="Nunito Sans" w:eastAsia="Nunito Sans" w:hAnsi="Nunito Sans"/>
        <w:b w:val="1"/>
        <w:color w:val="666666"/>
        <w:sz w:val="16"/>
        <w:szCs w:val="16"/>
      </w:rPr>
    </w:pPr>
    <w:bookmarkStart w:colFirst="0" w:colLast="0" w:name="_ke4g8hwox5uk" w:id="6"/>
    <w:bookmarkEnd w:id="6"/>
    <w:r w:rsidDel="00000000" w:rsidR="00000000" w:rsidRPr="00000000">
      <w:rPr>
        <w:rFonts w:ascii="Nunito Sans" w:cs="Nunito Sans" w:eastAsia="Nunito Sans" w:hAnsi="Nunito Sans"/>
        <w:b w:val="1"/>
        <w:color w:val="232323"/>
        <w:rtl w:val="0"/>
      </w:rPr>
      <w:t xml:space="preserve">info@edgilityconsulting.com  </w:t>
    </w:r>
    <w:r w:rsidDel="00000000" w:rsidR="00000000" w:rsidRPr="00000000">
      <w:rPr>
        <w:rFonts w:ascii="Nunito Sans" w:cs="Nunito Sans" w:eastAsia="Nunito Sans" w:hAnsi="Nunito Sans"/>
        <w:b w:val="1"/>
        <w:color w:val="a01850"/>
        <w:rtl w:val="0"/>
      </w:rPr>
      <w:t xml:space="preserve">/</w:t>
    </w:r>
    <w:r w:rsidDel="00000000" w:rsidR="00000000" w:rsidRPr="00000000">
      <w:rPr>
        <w:rFonts w:ascii="Nunito Sans" w:cs="Nunito Sans" w:eastAsia="Nunito Sans" w:hAnsi="Nunito Sans"/>
        <w:b w:val="1"/>
        <w:color w:val="232323"/>
        <w:rtl w:val="0"/>
      </w:rPr>
      <w:t xml:space="preserve">  (510) 575-9635  </w:t>
    </w:r>
    <w:r w:rsidDel="00000000" w:rsidR="00000000" w:rsidRPr="00000000">
      <w:rPr>
        <w:rFonts w:ascii="Nunito Sans" w:cs="Nunito Sans" w:eastAsia="Nunito Sans" w:hAnsi="Nunito Sans"/>
        <w:b w:val="1"/>
        <w:color w:val="a01850"/>
        <w:rtl w:val="0"/>
      </w:rPr>
      <w:t xml:space="preserve">/</w:t>
    </w:r>
    <w:r w:rsidDel="00000000" w:rsidR="00000000" w:rsidRPr="00000000">
      <w:rPr>
        <w:rFonts w:ascii="Nunito Sans" w:cs="Nunito Sans" w:eastAsia="Nunito Sans" w:hAnsi="Nunito Sans"/>
        <w:b w:val="1"/>
        <w:color w:val="232323"/>
        <w:rtl w:val="0"/>
      </w:rPr>
      <w:t xml:space="preserve">  edgilityconsulting.com</w:t>
      <w:tab/>
      <w:tab/>
    </w:r>
    <w:r w:rsidDel="00000000" w:rsidR="00000000" w:rsidRPr="00000000">
      <w:rPr>
        <w:rFonts w:ascii="Nunito Sans" w:cs="Nunito Sans" w:eastAsia="Nunito Sans" w:hAnsi="Nunito Sans"/>
        <w:b w:val="1"/>
        <w:rtl w:val="0"/>
      </w:rPr>
      <w:tab/>
      <w:tab/>
      <w:t xml:space="preserve"> </w:t>
    </w:r>
    <w:r w:rsidDel="00000000" w:rsidR="00000000" w:rsidRPr="00000000">
      <w:rPr>
        <w:rFonts w:ascii="Nunito Sans" w:cs="Nunito Sans" w:eastAsia="Nunito Sans" w:hAnsi="Nunito Sans"/>
        <w:b w:val="1"/>
        <w:color w:val="666666"/>
        <w:rtl w:val="0"/>
      </w:rPr>
      <w:t xml:space="preserve"> </w:t>
    </w:r>
    <w:r w:rsidDel="00000000" w:rsidR="00000000" w:rsidRPr="00000000">
      <w:rPr>
        <w:rFonts w:ascii="Nunito Sans" w:cs="Nunito Sans" w:eastAsia="Nunito Sans" w:hAnsi="Nunito Sans"/>
        <w:b w:val="1"/>
        <w:color w:val="ea9b11"/>
        <w:rtl w:val="0"/>
      </w:rPr>
      <w:t xml:space="preserve">/ </w:t>
    </w:r>
    <w:r w:rsidDel="00000000" w:rsidR="00000000" w:rsidRPr="00000000">
      <w:rPr>
        <w:rFonts w:ascii="Nunito Sans" w:cs="Nunito Sans" w:eastAsia="Nunito Sans" w:hAnsi="Nunito Sans"/>
        <w:b w:val="1"/>
        <w:color w:val="666666"/>
        <w:rtl w:val="0"/>
      </w:rPr>
      <w:t xml:space="preserve">  </w:t>
    </w:r>
    <w:r w:rsidDel="00000000" w:rsidR="00000000" w:rsidRPr="00000000">
      <w:rPr>
        <w:rFonts w:ascii="Nunito Sans" w:cs="Nunito Sans" w:eastAsia="Nunito Sans" w:hAnsi="Nunito Sans"/>
        <w:b w:val="1"/>
        <w:color w:val="666666"/>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-114299</wp:posOffset>
          </wp:positionV>
          <wp:extent cx="137160" cy="23317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 cy="23317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Style w:val="Title"/>
      <w:pageBreakBefore w:val="0"/>
      <w:ind w:left="-1440" w:firstLine="0"/>
      <w:rPr/>
    </w:pPr>
    <w:bookmarkStart w:colFirst="0" w:colLast="0" w:name="_ky5v6j8zx6w5" w:id="7"/>
    <w:bookmarkEnd w:id="7"/>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en"/>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76" w:lineRule="auto"/>
    </w:pPr>
    <w:rPr>
      <w:rFonts w:ascii="Nunito Sans SemiBold" w:cs="Nunito Sans SemiBold" w:eastAsia="Nunito Sans SemiBold" w:hAnsi="Nunito Sans SemiBold"/>
      <w:sz w:val="36"/>
      <w:szCs w:val="36"/>
    </w:rPr>
  </w:style>
  <w:style w:type="paragraph" w:styleId="Heading2">
    <w:name w:val="heading 2"/>
    <w:basedOn w:val="Normal"/>
    <w:next w:val="Normal"/>
    <w:pPr>
      <w:keepNext w:val="1"/>
      <w:keepLines w:val="1"/>
      <w:spacing w:before="360" w:line="276" w:lineRule="auto"/>
    </w:pPr>
    <w:rPr>
      <w:rFonts w:ascii="Nunito Sans SemiBold" w:cs="Nunito Sans SemiBold" w:eastAsia="Nunito Sans SemiBold" w:hAnsi="Nunito Sans SemiBold"/>
      <w:color w:val="1863df"/>
      <w:sz w:val="24"/>
      <w:szCs w:val="24"/>
    </w:rPr>
  </w:style>
  <w:style w:type="paragraph" w:styleId="Heading3">
    <w:name w:val="heading 3"/>
    <w:basedOn w:val="Normal"/>
    <w:next w:val="Normal"/>
    <w:pPr>
      <w:keepNext w:val="1"/>
      <w:keepLines w:val="1"/>
      <w:spacing w:after="0" w:lineRule="auto"/>
    </w:pPr>
    <w:rPr>
      <w:b w:val="1"/>
    </w:rPr>
  </w:style>
  <w:style w:type="paragraph" w:styleId="Heading4">
    <w:name w:val="heading 4"/>
    <w:basedOn w:val="Normal"/>
    <w:next w:val="Normal"/>
    <w:pPr>
      <w:keepNext w:val="1"/>
      <w:keepLines w:val="1"/>
      <w:ind w:right="-720"/>
      <w:jc w:val="right"/>
    </w:pPr>
    <w:rPr>
      <w:rFonts w:ascii="Nunito Sans SemiBold" w:cs="Nunito Sans SemiBold" w:eastAsia="Nunito Sans SemiBold" w:hAnsi="Nunito Sans SemiBold"/>
      <w:color w:val="666666"/>
      <w:sz w:val="16"/>
      <w:szCs w:val="1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rFonts w:ascii="Nunito Sans SemiBold" w:cs="Nunito Sans SemiBold" w:eastAsia="Nunito Sans SemiBold" w:hAnsi="Nunito Sans SemiBold"/>
      <w:sz w:val="88"/>
      <w:szCs w:val="88"/>
    </w:rPr>
  </w:style>
  <w:style w:type="paragraph" w:styleId="Subtitle">
    <w:name w:val="Subtitle"/>
    <w:basedOn w:val="Normal"/>
    <w:next w:val="Normal"/>
    <w:pPr>
      <w:keepNext w:val="1"/>
      <w:keepLines w:val="1"/>
      <w:spacing w:before="200" w:lineRule="auto"/>
    </w:pPr>
    <w:rPr>
      <w:rFonts w:ascii="Nunito Sans SemiBold" w:cs="Nunito Sans SemiBold" w:eastAsia="Nunito Sans SemiBold" w:hAnsi="Nunito Sans SemiBold"/>
      <w:color w:val="999999"/>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SansSemiBold-regular.ttf"/><Relationship Id="rId6" Type="http://schemas.openxmlformats.org/officeDocument/2006/relationships/font" Target="fonts/NunitoSansSemiBold-bold.ttf"/><Relationship Id="rId7" Type="http://schemas.openxmlformats.org/officeDocument/2006/relationships/font" Target="fonts/NunitoSansSemiBold-italic.ttf"/><Relationship Id="rId8" Type="http://schemas.openxmlformats.org/officeDocument/2006/relationships/font" Target="fonts/Nunito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